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0728D" w:rsidRDefault="0020728D"/>
    <w:p w:rsidR="0020728D" w:rsidRDefault="0020728D"/>
    <w:p w:rsidR="0020728D" w:rsidRPr="0020728D" w:rsidRDefault="0020728D" w:rsidP="0020728D">
      <w:pPr>
        <w:jc w:val="center"/>
        <w:rPr>
          <w:rFonts w:ascii="Clarendon" w:hAnsi="Clarendon"/>
          <w:sz w:val="32"/>
          <w:szCs w:val="32"/>
        </w:rPr>
      </w:pPr>
      <w:r w:rsidRPr="0020728D">
        <w:rPr>
          <w:rFonts w:ascii="Clarendon" w:hAnsi="Clarendon"/>
          <w:b/>
          <w:sz w:val="32"/>
          <w:szCs w:val="32"/>
        </w:rPr>
        <w:t>MOL Bányász Szakszervezet</w:t>
      </w:r>
    </w:p>
    <w:p w:rsidR="0020728D" w:rsidRDefault="0020728D"/>
    <w:p w:rsidR="0020728D" w:rsidRDefault="0020728D"/>
    <w:p w:rsidR="0020728D" w:rsidRDefault="0020728D"/>
    <w:p w:rsidR="0020728D" w:rsidRDefault="0020728D"/>
    <w:p w:rsidR="0020728D" w:rsidRDefault="0020728D"/>
    <w:p w:rsidR="0020728D" w:rsidRDefault="0020728D"/>
    <w:p w:rsidR="0020728D" w:rsidRDefault="0020728D">
      <w:pPr>
        <w:jc w:val="center"/>
        <w:rPr>
          <w:lang w:eastAsia="hu-HU"/>
        </w:rPr>
      </w:pPr>
    </w:p>
    <w:p w:rsidR="0020728D" w:rsidRDefault="0020728D"/>
    <w:p w:rsidR="0020728D" w:rsidRDefault="0020728D"/>
    <w:p w:rsidR="0020728D" w:rsidRDefault="0020728D"/>
    <w:p w:rsidR="0020728D" w:rsidRDefault="0020728D" w:rsidP="0020728D">
      <w:pPr>
        <w:jc w:val="center"/>
      </w:pPr>
      <w:r>
        <w:object w:dxaOrig="5715" w:dyaOrig="6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127.5pt" o:ole="" fillcolor="window">
            <v:imagedata r:id="rId8" o:title=""/>
          </v:shape>
          <o:OLEObject Type="Embed" ProgID="PBrush" ShapeID="_x0000_i1025" DrawAspect="Content" ObjectID="_1474107856" r:id="rId9"/>
        </w:object>
      </w:r>
    </w:p>
    <w:p w:rsidR="0020728D" w:rsidRDefault="0020728D"/>
    <w:p w:rsidR="0020728D" w:rsidRDefault="0020728D"/>
    <w:p w:rsidR="0020728D" w:rsidRDefault="0020728D"/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9C78D0">
      <w:pPr>
        <w:jc w:val="center"/>
      </w:pPr>
      <w:r>
        <w:rPr>
          <w:b/>
          <w:sz w:val="40"/>
          <w:szCs w:val="40"/>
        </w:rPr>
        <w:t>SELEJTEZÉSI</w:t>
      </w:r>
      <w:r w:rsidR="0020728D">
        <w:rPr>
          <w:b/>
          <w:sz w:val="40"/>
          <w:szCs w:val="40"/>
        </w:rPr>
        <w:t xml:space="preserve"> SZABÁLYZAT</w:t>
      </w:r>
    </w:p>
    <w:p w:rsidR="0020728D" w:rsidRDefault="0020728D"/>
    <w:p w:rsidR="0020728D" w:rsidRDefault="0020728D"/>
    <w:p w:rsidR="0020728D" w:rsidRDefault="0020728D"/>
    <w:p w:rsidR="0020728D" w:rsidRDefault="0020728D"/>
    <w:p w:rsidR="0020728D" w:rsidRDefault="0020728D"/>
    <w:p w:rsidR="0020728D" w:rsidRDefault="0020728D"/>
    <w:p w:rsidR="0020728D" w:rsidRDefault="0020728D"/>
    <w:p w:rsidR="0020728D" w:rsidRDefault="00877542">
      <w:pPr>
        <w:jc w:val="center"/>
      </w:pPr>
      <w:r>
        <w:rPr>
          <w:b/>
          <w:sz w:val="32"/>
          <w:szCs w:val="32"/>
        </w:rPr>
        <w:t>- 2014</w:t>
      </w:r>
      <w:r w:rsidR="0020728D">
        <w:rPr>
          <w:b/>
          <w:sz w:val="32"/>
          <w:szCs w:val="32"/>
        </w:rPr>
        <w:t xml:space="preserve"> -</w:t>
      </w:r>
    </w:p>
    <w:p w:rsidR="0020728D" w:rsidRDefault="0020728D"/>
    <w:p w:rsidR="0020728D" w:rsidRDefault="0020728D">
      <w:pPr>
        <w:sectPr w:rsidR="0020728D">
          <w:pgSz w:w="11906" w:h="16838"/>
          <w:pgMar w:top="1694" w:right="1134" w:bottom="1694" w:left="1418" w:header="1418" w:footer="1418" w:gutter="0"/>
          <w:cols w:space="708"/>
          <w:docGrid w:linePitch="360"/>
        </w:sectPr>
      </w:pPr>
    </w:p>
    <w:p w:rsidR="009C78D0" w:rsidRPr="009C78D0" w:rsidRDefault="009C78D0" w:rsidP="009C78D0">
      <w:pPr>
        <w:jc w:val="center"/>
        <w:rPr>
          <w:rFonts w:ascii="Clarendon" w:hAnsi="Clarendon"/>
          <w:b/>
          <w:sz w:val="28"/>
          <w:szCs w:val="28"/>
        </w:rPr>
      </w:pPr>
      <w:r w:rsidRPr="009C78D0">
        <w:rPr>
          <w:rFonts w:ascii="Clarendon" w:hAnsi="Clarendon"/>
          <w:b/>
          <w:sz w:val="28"/>
          <w:szCs w:val="28"/>
        </w:rPr>
        <w:lastRenderedPageBreak/>
        <w:t>MOL Bányász Szakszervezet</w:t>
      </w:r>
    </w:p>
    <w:p w:rsidR="009C78D0" w:rsidRPr="009C78D0" w:rsidRDefault="009C78D0" w:rsidP="00901A51">
      <w:pPr>
        <w:jc w:val="center"/>
        <w:rPr>
          <w:rFonts w:ascii="Clarendon" w:hAnsi="Clarendon"/>
        </w:rPr>
      </w:pPr>
      <w:r w:rsidRPr="009C78D0">
        <w:rPr>
          <w:rFonts w:ascii="Clarendon" w:hAnsi="Clarendon"/>
          <w:b/>
        </w:rPr>
        <w:t>SELEJTEZÉSI SZABÁLYZAT</w:t>
      </w:r>
    </w:p>
    <w:p w:rsidR="009C78D0" w:rsidRPr="009C78D0" w:rsidRDefault="009C78D0" w:rsidP="009C78D0">
      <w:pPr>
        <w:spacing w:before="240" w:after="240"/>
        <w:jc w:val="center"/>
        <w:rPr>
          <w:rFonts w:ascii="Clarendon" w:hAnsi="Clarendon"/>
        </w:rPr>
      </w:pPr>
    </w:p>
    <w:p w:rsidR="009C78D0" w:rsidRPr="009C78D0" w:rsidRDefault="009C78D0" w:rsidP="009C78D0">
      <w:pPr>
        <w:spacing w:before="240" w:after="240"/>
        <w:jc w:val="center"/>
        <w:rPr>
          <w:rFonts w:ascii="Clarendon" w:hAnsi="Clarendon"/>
          <w:b/>
        </w:rPr>
      </w:pPr>
      <w:r w:rsidRPr="009C78D0">
        <w:rPr>
          <w:rFonts w:ascii="Clarendon" w:hAnsi="Clarendon"/>
          <w:b/>
        </w:rPr>
        <w:t>I.</w:t>
      </w:r>
    </w:p>
    <w:p w:rsidR="009C78D0" w:rsidRPr="009C78D0" w:rsidRDefault="009C78D0" w:rsidP="009C78D0">
      <w:pPr>
        <w:jc w:val="center"/>
        <w:rPr>
          <w:rFonts w:ascii="Clarendon" w:hAnsi="Clarendon"/>
          <w:b/>
        </w:rPr>
      </w:pPr>
      <w:r w:rsidRPr="009C78D0">
        <w:rPr>
          <w:rFonts w:ascii="Clarendon" w:hAnsi="Clarendon"/>
          <w:b/>
        </w:rPr>
        <w:t>ÁLTALÁNOS RENDELKEZÉSEK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 xml:space="preserve">A jelen szabályzat a </w:t>
      </w:r>
      <w:r w:rsidRPr="009C78D0">
        <w:rPr>
          <w:rFonts w:ascii="Clarendon" w:hAnsi="Clarendon"/>
          <w:b/>
        </w:rPr>
        <w:t>MOL Bányász Szakszervezet</w:t>
      </w:r>
      <w:r w:rsidRPr="009C78D0">
        <w:rPr>
          <w:rFonts w:ascii="Clarendon" w:hAnsi="Clarendon"/>
        </w:rPr>
        <w:t xml:space="preserve"> (a továbbiakban: </w:t>
      </w:r>
      <w:r>
        <w:rPr>
          <w:rFonts w:ascii="Clarendon" w:hAnsi="Clarendon"/>
        </w:rPr>
        <w:t>Szakszervezet</w:t>
      </w:r>
      <w:r w:rsidRPr="009C78D0">
        <w:rPr>
          <w:rFonts w:ascii="Clarendon" w:hAnsi="Clarendon"/>
        </w:rPr>
        <w:t>) tulajdonában levő vagyontárgyak rendszeres feltárására, hasznosítására, leértékelésére és selejtezésére vonatkozó eljárási szabályokat rögzíti.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A selejtezési szabályzat előírásai nem vo</w:t>
      </w:r>
      <w:r>
        <w:rPr>
          <w:rFonts w:ascii="Clarendon" w:hAnsi="Clarendon"/>
        </w:rPr>
        <w:t>natkoznak a</w:t>
      </w:r>
      <w:r w:rsidRPr="009C78D0">
        <w:rPr>
          <w:rFonts w:ascii="Clarendon" w:hAnsi="Clarendon"/>
        </w:rPr>
        <w:t xml:space="preserve">  </w:t>
      </w:r>
      <w:r>
        <w:rPr>
          <w:rFonts w:ascii="Clarendon" w:hAnsi="Clarendon"/>
        </w:rPr>
        <w:t xml:space="preserve">Szakszervezet </w:t>
      </w:r>
      <w:r w:rsidRPr="009C78D0">
        <w:rPr>
          <w:rFonts w:ascii="Clarendon" w:hAnsi="Clarendon"/>
        </w:rPr>
        <w:t xml:space="preserve">iratainak selejtezésére, ezekre a külön jogszabályok </w:t>
      </w:r>
      <w:proofErr w:type="gramStart"/>
      <w:r w:rsidRPr="009C78D0">
        <w:rPr>
          <w:rFonts w:ascii="Clarendon" w:hAnsi="Clarendon"/>
        </w:rPr>
        <w:t>rendelkezései</w:t>
      </w:r>
      <w:proofErr w:type="gramEnd"/>
      <w:r w:rsidRPr="009C78D0">
        <w:rPr>
          <w:rFonts w:ascii="Clarendon" w:hAnsi="Clarendon"/>
        </w:rPr>
        <w:t xml:space="preserve"> ill. az iratkezelési szabályzat vonatkozik.</w:t>
      </w:r>
    </w:p>
    <w:p w:rsidR="009C78D0" w:rsidRPr="009C78D0" w:rsidRDefault="009C78D0" w:rsidP="009C78D0">
      <w:pPr>
        <w:spacing w:before="480" w:after="240"/>
        <w:jc w:val="center"/>
        <w:rPr>
          <w:rFonts w:ascii="Clarendon" w:hAnsi="Clarendon"/>
          <w:b/>
        </w:rPr>
      </w:pPr>
      <w:r w:rsidRPr="009C78D0">
        <w:rPr>
          <w:rFonts w:ascii="Clarendon" w:hAnsi="Clarendon"/>
          <w:b/>
        </w:rPr>
        <w:t>II.</w:t>
      </w:r>
    </w:p>
    <w:p w:rsidR="009C78D0" w:rsidRPr="009C78D0" w:rsidRDefault="009C78D0" w:rsidP="009C78D0">
      <w:pPr>
        <w:jc w:val="center"/>
        <w:rPr>
          <w:rFonts w:ascii="Clarendon" w:hAnsi="Clarendon"/>
          <w:b/>
        </w:rPr>
      </w:pPr>
      <w:r w:rsidRPr="009C78D0">
        <w:rPr>
          <w:rFonts w:ascii="Clarendon" w:hAnsi="Clarendon"/>
          <w:b/>
        </w:rPr>
        <w:t>A SELEJTEZÉST VÉGZŐ SZERV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 xml:space="preserve">A selejtezésre kerülő vagyontárgyak köréről </w:t>
      </w:r>
      <w:r>
        <w:rPr>
          <w:rFonts w:ascii="Clarendon" w:hAnsi="Clarendon"/>
        </w:rPr>
        <w:t>a Szakszervezet</w:t>
      </w:r>
      <w:r w:rsidRPr="009C78D0">
        <w:rPr>
          <w:rFonts w:ascii="Clarendon" w:hAnsi="Clarendon"/>
        </w:rPr>
        <w:t xml:space="preserve"> Elnöksége az Elnök, illetőleg bármely munkavállaló kezdeményezésére, a </w:t>
      </w:r>
      <w:r w:rsidR="00164915">
        <w:rPr>
          <w:rFonts w:ascii="Clarendon" w:hAnsi="Clarendon"/>
        </w:rPr>
        <w:t>Pénzügyi Ellenőrző</w:t>
      </w:r>
      <w:r w:rsidRPr="009C78D0">
        <w:rPr>
          <w:rFonts w:ascii="Clarendon" w:hAnsi="Clarendon"/>
        </w:rPr>
        <w:t xml:space="preserve"> Bizottság javaslatának figyelembe vételével minden naptári év végén dönt. </w:t>
      </w:r>
    </w:p>
    <w:p w:rsidR="009C78D0" w:rsidRPr="009C78D0" w:rsidRDefault="009C78D0" w:rsidP="009C78D0">
      <w:pPr>
        <w:spacing w:before="480" w:after="240"/>
        <w:jc w:val="center"/>
        <w:rPr>
          <w:rFonts w:ascii="Clarendon" w:hAnsi="Clarendon"/>
          <w:b/>
        </w:rPr>
      </w:pPr>
      <w:r w:rsidRPr="009C78D0">
        <w:rPr>
          <w:rFonts w:ascii="Clarendon" w:hAnsi="Clarendon"/>
          <w:b/>
        </w:rPr>
        <w:t>III.</w:t>
      </w:r>
    </w:p>
    <w:p w:rsidR="009C78D0" w:rsidRPr="009C78D0" w:rsidRDefault="009C78D0" w:rsidP="009C78D0">
      <w:pPr>
        <w:jc w:val="center"/>
        <w:rPr>
          <w:rFonts w:ascii="Clarendon" w:hAnsi="Clarendon"/>
          <w:b/>
        </w:rPr>
      </w:pPr>
      <w:r w:rsidRPr="009C78D0">
        <w:rPr>
          <w:rFonts w:ascii="Clarendon" w:hAnsi="Clarendon"/>
          <w:b/>
        </w:rPr>
        <w:t>A SELEJTEZÉS ESETEI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A felesleges vagyontárgyak körét rendszeresen fel kell tárni, ennek ismérveit eszközcsoportonként meg kell határozni, a később már nem hasznosítható vagyontárgyakat, eszközöket írásban rögzíteni kell.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3.1. A nem hasznosítható vagyontárgyak, eszközök köre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 xml:space="preserve">3.1.1. </w:t>
      </w:r>
      <w:r>
        <w:rPr>
          <w:rFonts w:ascii="Clarendon" w:hAnsi="Clarendon"/>
        </w:rPr>
        <w:t>Tárgyi eszközök</w:t>
      </w:r>
      <w:r w:rsidRPr="009C78D0">
        <w:rPr>
          <w:rFonts w:ascii="Clarendon" w:hAnsi="Clarendon"/>
        </w:rPr>
        <w:t xml:space="preserve"> (gépek, berendezések) selejtezhetővé válhatnak: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– fizikai elhasználódás miatt;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– elavulás, korszerűtlenné válás folytán;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– ha a helyreállítás aránytalan költségtöbbletet jelentene és ennek megtérülése nem várható;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3.1.2. Készletek selejtezhetővé nyilváníthatóak: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lastRenderedPageBreak/>
        <w:t xml:space="preserve">– azok a tartalék alkatrészek és egyéb tartozékok, amelyek az </w:t>
      </w:r>
      <w:r>
        <w:rPr>
          <w:rFonts w:ascii="Clarendon" w:hAnsi="Clarendon"/>
        </w:rPr>
        <w:t>tárgyi eszközök</w:t>
      </w:r>
      <w:r w:rsidRPr="009C78D0">
        <w:rPr>
          <w:rFonts w:ascii="Clarendon" w:hAnsi="Clarendon"/>
        </w:rPr>
        <w:t xml:space="preserve"> kiselejtezése vagy értékesítése következtében maradtak vissza, ha eredeti rendeltetésüknek megfelelően már nem használhatók vagy nem értékesíthetők.</w:t>
      </w:r>
    </w:p>
    <w:p w:rsidR="009C78D0" w:rsidRPr="009C78D0" w:rsidRDefault="009C78D0" w:rsidP="009C78D0">
      <w:pPr>
        <w:spacing w:before="480" w:after="240"/>
        <w:jc w:val="center"/>
        <w:rPr>
          <w:rFonts w:ascii="Clarendon" w:hAnsi="Clarendon"/>
          <w:b/>
        </w:rPr>
      </w:pPr>
      <w:r w:rsidRPr="009C78D0">
        <w:rPr>
          <w:rFonts w:ascii="Clarendon" w:hAnsi="Clarendon"/>
          <w:b/>
        </w:rPr>
        <w:t>IV.</w:t>
      </w:r>
    </w:p>
    <w:p w:rsidR="009C78D0" w:rsidRPr="009C78D0" w:rsidRDefault="009C78D0" w:rsidP="009C78D0">
      <w:pPr>
        <w:jc w:val="center"/>
        <w:rPr>
          <w:rFonts w:ascii="Clarendon" w:hAnsi="Clarendon"/>
          <w:b/>
        </w:rPr>
      </w:pPr>
      <w:r w:rsidRPr="009C78D0">
        <w:rPr>
          <w:rFonts w:ascii="Clarendon" w:hAnsi="Clarendon"/>
          <w:b/>
        </w:rPr>
        <w:t>A SELEJTEZÉS MÓDJA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 xml:space="preserve">4.1. A rendszeres selejtezést </w:t>
      </w:r>
      <w:r>
        <w:rPr>
          <w:rFonts w:ascii="Clarendon" w:hAnsi="Clarendon"/>
        </w:rPr>
        <w:t>a Szakszervezet</w:t>
      </w:r>
      <w:r w:rsidRPr="009C78D0">
        <w:rPr>
          <w:rFonts w:ascii="Clarendon" w:hAnsi="Clarendon"/>
        </w:rPr>
        <w:t xml:space="preserve"> Elnöke irányítja és ellenőrzi, végrehajtása a pénztáros ügykörébe tartozik. 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4.2. A pénztáros a feleslegesnek minősített vagyontárgyakról, eszközökről jegyzéket vesz fel. A jegyzékben fel kell tüntetni: a vagyontárgyak megnevezését; a jellemző műszaki adatokat (típus, gyártási szám, azonosító jel stb.); ha van egyéb (leltári) azonosító számát; a mennyiségi egységet; a nyilvántartási árat, a selejtezés okát.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4.4. A jegyzéket legalább két példányban kell elkészíteni.</w:t>
      </w:r>
    </w:p>
    <w:p w:rsidR="009C78D0" w:rsidRPr="009C78D0" w:rsidRDefault="009C78D0" w:rsidP="009C78D0">
      <w:pPr>
        <w:spacing w:before="480" w:after="240"/>
        <w:jc w:val="center"/>
        <w:rPr>
          <w:rFonts w:ascii="Clarendon" w:hAnsi="Clarendon"/>
          <w:b/>
        </w:rPr>
      </w:pPr>
      <w:r w:rsidRPr="009C78D0">
        <w:rPr>
          <w:rFonts w:ascii="Clarendon" w:hAnsi="Clarendon"/>
          <w:b/>
        </w:rPr>
        <w:t>V.</w:t>
      </w:r>
    </w:p>
    <w:p w:rsidR="009C78D0" w:rsidRPr="009C78D0" w:rsidRDefault="009C78D0" w:rsidP="009C78D0">
      <w:pPr>
        <w:jc w:val="center"/>
        <w:rPr>
          <w:rFonts w:ascii="Clarendon" w:hAnsi="Clarendon"/>
          <w:b/>
        </w:rPr>
      </w:pPr>
      <w:r w:rsidRPr="009C78D0">
        <w:rPr>
          <w:rFonts w:ascii="Clarendon" w:hAnsi="Clarendon"/>
          <w:b/>
        </w:rPr>
        <w:t>A SELEJTEZÉSI ELJÁRÁS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 xml:space="preserve">5.1. A </w:t>
      </w:r>
      <w:r w:rsidR="00164915">
        <w:rPr>
          <w:rFonts w:ascii="Clarendon" w:hAnsi="Clarendon"/>
        </w:rPr>
        <w:t>Pénzügyi Ellenőrző</w:t>
      </w:r>
      <w:r w:rsidRPr="009C78D0">
        <w:rPr>
          <w:rFonts w:ascii="Clarendon" w:hAnsi="Clarendon"/>
        </w:rPr>
        <w:t xml:space="preserve"> Bizottság a hozzá beérkezett – feleslegesnek minősített vagyontárgyakról szóló – jelentéseket azok átvételét követő 15 napon belül köteles egyeztetni és döntést hozni.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5.2. A feleslegesnek minősített eszközök adatait a bizottság a könyvelésnek küldi meg, ahol 5 napon belül a jegyzék megfelelő tételeihez</w:t>
      </w:r>
      <w:r>
        <w:rPr>
          <w:rFonts w:ascii="Clarendon" w:hAnsi="Clarendon"/>
        </w:rPr>
        <w:t xml:space="preserve"> </w:t>
      </w:r>
      <w:proofErr w:type="spellStart"/>
      <w:r>
        <w:rPr>
          <w:rFonts w:ascii="Clarendon" w:hAnsi="Clarendon"/>
        </w:rPr>
        <w:t>eszköz</w:t>
      </w:r>
      <w:r w:rsidRPr="009C78D0">
        <w:rPr>
          <w:rFonts w:ascii="Clarendon" w:hAnsi="Clarendon"/>
        </w:rPr>
        <w:t>nemenként</w:t>
      </w:r>
      <w:proofErr w:type="spellEnd"/>
      <w:r w:rsidRPr="009C78D0">
        <w:rPr>
          <w:rFonts w:ascii="Clarendon" w:hAnsi="Clarendon"/>
        </w:rPr>
        <w:t xml:space="preserve"> fel kell vezetni az eszközök nyilvántartási egységárát. </w:t>
      </w:r>
    </w:p>
    <w:p w:rsidR="009C78D0" w:rsidRDefault="009C78D0" w:rsidP="00901A51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5.3. Az Egyesületen belül már nem hasznosítható vagyontárgyak kezelésére, hasznosítására</w:t>
      </w:r>
      <w:r w:rsidR="00AF5448">
        <w:rPr>
          <w:rFonts w:ascii="Clarendon" w:hAnsi="Clarendon"/>
        </w:rPr>
        <w:t>,</w:t>
      </w:r>
      <w:r w:rsidR="00164915">
        <w:rPr>
          <w:rFonts w:ascii="Clarendon" w:hAnsi="Clarendon"/>
        </w:rPr>
        <w:t xml:space="preserve"> ill. selejtezésére a Pénzügyi Ellenőrző</w:t>
      </w:r>
      <w:r w:rsidRPr="009C78D0">
        <w:rPr>
          <w:rFonts w:ascii="Clarendon" w:hAnsi="Clarendon"/>
        </w:rPr>
        <w:t xml:space="preserve"> Bizottság tesz javaslatot.</w:t>
      </w:r>
    </w:p>
    <w:p w:rsidR="009C78D0" w:rsidRPr="009C78D0" w:rsidRDefault="009C78D0" w:rsidP="009C78D0">
      <w:pPr>
        <w:spacing w:before="480" w:after="240"/>
        <w:jc w:val="center"/>
        <w:rPr>
          <w:rFonts w:ascii="Clarendon" w:hAnsi="Clarendon"/>
          <w:b/>
        </w:rPr>
      </w:pPr>
      <w:r w:rsidRPr="009C78D0">
        <w:rPr>
          <w:rFonts w:ascii="Clarendon" w:hAnsi="Clarendon"/>
          <w:b/>
        </w:rPr>
        <w:t>VI.</w:t>
      </w:r>
    </w:p>
    <w:p w:rsidR="009C78D0" w:rsidRDefault="009C78D0" w:rsidP="009C78D0">
      <w:pPr>
        <w:jc w:val="center"/>
        <w:rPr>
          <w:rFonts w:ascii="Clarendon" w:hAnsi="Clarendon"/>
          <w:b/>
        </w:rPr>
      </w:pPr>
      <w:r w:rsidRPr="009C78D0">
        <w:rPr>
          <w:rFonts w:ascii="Clarendon" w:hAnsi="Clarendon"/>
          <w:b/>
        </w:rPr>
        <w:t>A FELESLEGES ESZKÖZÖK ÉRTÉKESÍTÉSE (ELADÁS, ÁTADÁS, BÉRBEADÁS)</w:t>
      </w:r>
    </w:p>
    <w:p w:rsidR="009C78D0" w:rsidRPr="009C78D0" w:rsidRDefault="009C78D0" w:rsidP="009C78D0">
      <w:pPr>
        <w:jc w:val="center"/>
        <w:rPr>
          <w:rFonts w:ascii="Clarendon" w:hAnsi="Clarendon"/>
          <w:b/>
        </w:rPr>
      </w:pP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 xml:space="preserve">6.1. Törekedni arra, hogy a felesleges vagyontárgyakat </w:t>
      </w:r>
      <w:r>
        <w:rPr>
          <w:rFonts w:ascii="Clarendon" w:hAnsi="Clarendon"/>
        </w:rPr>
        <w:t>a Szakszervezet</w:t>
      </w:r>
      <w:r w:rsidRPr="009C78D0">
        <w:rPr>
          <w:rFonts w:ascii="Clarendon" w:hAnsi="Clarendon"/>
        </w:rPr>
        <w:t xml:space="preserve"> értékesítse. Az értékesítésről szóló szerződésnek tartalmaznia kell az átadás időpontját, a fizetés határidejét és módját. Az így értékesített vagyontárgyak esetén részletfizetési vagy egyéb kedvezmény nem adható.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lastRenderedPageBreak/>
        <w:t xml:space="preserve">6.2. A felesleges vagyontárgyak értékesítési árát az Elnökség állapítja meg. Abban az esetben, ha az ármegállapítás elmaradt, az eszközök egyedi árát állóeszközök, fogyóeszközök esetében a nettó nyilvántartási áron, saját termelésű készletet legalább az értékelés alapjául szolgáló tervezett önköltség értékén kell értékesíteni. 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Ha a megállapított áron az értékesítés eredménytelen, úgy az alacsonyabb áron, ill. minimumáron történő újabb értékesítéshez az Elnökség külön engedélye szükséges. Az értékesítés lebonyolításának szabályszerűségéért, a pénzügyi és számviteli előírások betartásáért az Elnök felel.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6.3. A felesleges eszközök értékesítése történhet gazdálkodó szervezetek, egyéb jogi személyek részére, ill. magánszemélyek részére egyaránt. Magánszemélyek részére történő értékesítés csak azonnali készpénzfizetés ellenében történhet. A vásárlásról minden esetben számlát kell kiállítani. Az értékesített vagyontárgyat csak a kifizetett számla alapján kiállított szállítólevél vagy átadás-átvételi jegyzőkönyv kíséretében szabad kiszolgáltatni.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6.4. Térítésmentes átadásra (módja, eszközök típusai) a hatályos jogszabályok rendelkezései az irányadóak.</w:t>
      </w:r>
    </w:p>
    <w:p w:rsidR="009C78D0" w:rsidRPr="00901A51" w:rsidRDefault="009C78D0" w:rsidP="00901A51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 xml:space="preserve">6.5. Amennyiben jogszabály megengedi, úgy a feleslegessé vált eszközöket </w:t>
      </w:r>
      <w:r>
        <w:rPr>
          <w:rFonts w:ascii="Clarendon" w:hAnsi="Clarendon"/>
        </w:rPr>
        <w:t>a Szakszervezet</w:t>
      </w:r>
      <w:r w:rsidRPr="009C78D0">
        <w:rPr>
          <w:rFonts w:ascii="Clarendon" w:hAnsi="Clarendon"/>
        </w:rPr>
        <w:t xml:space="preserve"> más szervezetnek, magánszemélynek bérbe adhatja, az Elnökség engedélyével ügyvéd vagy jogtanácsos által ellenjegyzett bérleti szerződéssel. A bérbe adott eszköz bérleti díját úgy kell meghatározni, hogy az legalább az értékcsökkenés összegét elérje. A bérbe adott eszközök nyilvántartásáról </w:t>
      </w:r>
      <w:r>
        <w:rPr>
          <w:rFonts w:ascii="Clarendon" w:hAnsi="Clarendon"/>
        </w:rPr>
        <w:t>a Szakszervezet</w:t>
      </w:r>
      <w:r w:rsidRPr="009C78D0">
        <w:rPr>
          <w:rFonts w:ascii="Clarendon" w:hAnsi="Clarendon"/>
        </w:rPr>
        <w:t xml:space="preserve"> könyvelője gondoskodik, azok a szerződés hatálya alatt az eszköznyilvántartásból nem törölhetőek.</w:t>
      </w:r>
    </w:p>
    <w:p w:rsidR="009C78D0" w:rsidRPr="009C78D0" w:rsidRDefault="009C78D0" w:rsidP="009C78D0">
      <w:pPr>
        <w:spacing w:before="480" w:after="240"/>
        <w:jc w:val="center"/>
        <w:rPr>
          <w:rFonts w:ascii="Clarendon" w:hAnsi="Clarendon"/>
          <w:b/>
        </w:rPr>
      </w:pPr>
      <w:r w:rsidRPr="009C78D0">
        <w:rPr>
          <w:rFonts w:ascii="Clarendon" w:hAnsi="Clarendon"/>
          <w:b/>
        </w:rPr>
        <w:t>VII.</w:t>
      </w:r>
    </w:p>
    <w:p w:rsidR="009C78D0" w:rsidRPr="009C78D0" w:rsidRDefault="00AF5448" w:rsidP="009C78D0">
      <w:pPr>
        <w:jc w:val="center"/>
        <w:rPr>
          <w:rFonts w:ascii="Clarendon" w:hAnsi="Clarendon"/>
          <w:b/>
        </w:rPr>
      </w:pPr>
      <w:r>
        <w:rPr>
          <w:rFonts w:ascii="Clarendon" w:hAnsi="Clarendon"/>
          <w:b/>
        </w:rPr>
        <w:t>SELEJTEZÉS ÉS</w:t>
      </w:r>
      <w:r w:rsidR="009C78D0" w:rsidRPr="009C78D0">
        <w:rPr>
          <w:rFonts w:ascii="Clarendon" w:hAnsi="Clarendon"/>
          <w:b/>
        </w:rPr>
        <w:t xml:space="preserve"> MEGSEMMISÍTÉS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7.1. Ha a vagyontárgy hasznosítása értékesítés vagy bérbeadás útján sem lehetséges,</w:t>
      </w:r>
      <w:r w:rsidR="00164915">
        <w:rPr>
          <w:rFonts w:ascii="Clarendon" w:hAnsi="Clarendon"/>
        </w:rPr>
        <w:t xml:space="preserve"> úgy a selejtezést – a Pénzügyi Ellenőrző</w:t>
      </w:r>
      <w:r w:rsidRPr="009C78D0">
        <w:rPr>
          <w:rFonts w:ascii="Clarendon" w:hAnsi="Clarendon"/>
        </w:rPr>
        <w:t xml:space="preserve"> Bizottság írásbeli javaslata alapján – az Elnökség engedélyezi.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 xml:space="preserve">7.2. A selejtezés során a felesleges vagyontárgyakat vagy a készletnyilvántartásból kell törölni; vagy elkülönített nyilvántartásba kell venni; továbbá tételes bontásban kimutatásban szerepelnek, amíg azokat </w:t>
      </w:r>
      <w:r>
        <w:rPr>
          <w:rFonts w:ascii="Clarendon" w:hAnsi="Clarendon"/>
        </w:rPr>
        <w:t>a Szakszervezet</w:t>
      </w:r>
      <w:r w:rsidRPr="009C78D0">
        <w:rPr>
          <w:rFonts w:ascii="Clarendon" w:hAnsi="Clarendon"/>
        </w:rPr>
        <w:t xml:space="preserve"> valamilyen formában nem hasznosítja, vagy a megsemmisítési eljárás keretében meg nem semmisíti.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A selejtezési eljárás lefolytatása nem jelenti a felesleges vagyontárgy fizikai megsemmisítését vagy használatra alkalmatlanná tételét, kivéve, ha azt hatósági előírás kötelezően rendeli el. A selejtezési eljárásba, amennyiben az szükséges, további szakértőket is be lehet vonni.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lastRenderedPageBreak/>
        <w:t xml:space="preserve">7.3. A selejtezési eljárás alá vont vagyontárgyakat elkülönítetten kell nyilvántartani és meg kell jelölni. A </w:t>
      </w:r>
      <w:r w:rsidR="00164915">
        <w:rPr>
          <w:rFonts w:ascii="Clarendon" w:hAnsi="Clarendon"/>
        </w:rPr>
        <w:t>Pénzügyi Ellenőrző</w:t>
      </w:r>
      <w:r w:rsidRPr="009C78D0">
        <w:rPr>
          <w:rFonts w:ascii="Clarendon" w:hAnsi="Clarendon"/>
        </w:rPr>
        <w:t xml:space="preserve"> Bizottságot a Bizottság elnöke meghatározott időközönként vagy a szükséghez képest esetenként hívja össze. 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 xml:space="preserve">7.4. A </w:t>
      </w:r>
      <w:r w:rsidR="00164915">
        <w:rPr>
          <w:rFonts w:ascii="Clarendon" w:hAnsi="Clarendon"/>
        </w:rPr>
        <w:t>Pénzügyi Ellenőrző</w:t>
      </w:r>
      <w:r w:rsidRPr="009C78D0">
        <w:rPr>
          <w:rFonts w:ascii="Clarendon" w:hAnsi="Clarendon"/>
        </w:rPr>
        <w:t xml:space="preserve"> Bizottság ellenőrzi, hogy selejtezés alá vont vagyontárgy hasznosítására vonatkozó eljárás szabályszerű volt–e; a rendelkezésre álló iratok megfelelőek–e. Amennyiben nem szabályosan jártak el, ill. ha az értékesítés lehetősége fennáll, úgy a Bizottság a selejtezés iránti kérelmet elutasítja. </w:t>
      </w:r>
    </w:p>
    <w:p w:rsidR="00901A51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 xml:space="preserve">7.5. A selejtezési eljárásról a Bizottság </w:t>
      </w:r>
      <w:proofErr w:type="spellStart"/>
      <w:r w:rsidRPr="009C78D0">
        <w:rPr>
          <w:rFonts w:ascii="Clarendon" w:hAnsi="Clarendon"/>
        </w:rPr>
        <w:t>eszközfajtánkénti</w:t>
      </w:r>
      <w:proofErr w:type="spellEnd"/>
      <w:r w:rsidRPr="009C78D0">
        <w:rPr>
          <w:rFonts w:ascii="Clarendon" w:hAnsi="Clarendon"/>
        </w:rPr>
        <w:t xml:space="preserve"> elhatárolásban jegyzőkönyvet készít, mely tartalmazza:</w:t>
      </w:r>
    </w:p>
    <w:p w:rsidR="00901A51" w:rsidRPr="009C78D0" w:rsidRDefault="00901A51" w:rsidP="00901A51">
      <w:pPr>
        <w:pStyle w:val="Nincstrkz"/>
      </w:pPr>
    </w:p>
    <w:p w:rsidR="009C78D0" w:rsidRPr="00901A51" w:rsidRDefault="009C78D0" w:rsidP="00901A51">
      <w:pPr>
        <w:jc w:val="both"/>
        <w:rPr>
          <w:rFonts w:ascii="Clarendon" w:hAnsi="Clarendon"/>
        </w:rPr>
      </w:pPr>
      <w:r w:rsidRPr="00901A51">
        <w:rPr>
          <w:rFonts w:ascii="Clarendon" w:hAnsi="Clarendon"/>
        </w:rPr>
        <w:t>– az eljárást lefolytató Bizottság jelenlévő tagjait,</w:t>
      </w:r>
    </w:p>
    <w:p w:rsidR="009C78D0" w:rsidRPr="00901A51" w:rsidRDefault="009C78D0" w:rsidP="00901A51">
      <w:pPr>
        <w:jc w:val="both"/>
        <w:rPr>
          <w:rFonts w:ascii="Clarendon" w:hAnsi="Clarendon"/>
        </w:rPr>
      </w:pPr>
      <w:r w:rsidRPr="00901A51">
        <w:rPr>
          <w:rFonts w:ascii="Clarendon" w:hAnsi="Clarendon"/>
        </w:rPr>
        <w:t>– az eljárás során felhasznált dokumentáció felsorolását,</w:t>
      </w:r>
    </w:p>
    <w:p w:rsidR="009C78D0" w:rsidRPr="00901A51" w:rsidRDefault="009C78D0" w:rsidP="00901A51">
      <w:pPr>
        <w:jc w:val="both"/>
        <w:rPr>
          <w:rFonts w:ascii="Clarendon" w:hAnsi="Clarendon"/>
        </w:rPr>
      </w:pPr>
      <w:r w:rsidRPr="00901A51">
        <w:rPr>
          <w:rFonts w:ascii="Clarendon" w:hAnsi="Clarendon"/>
        </w:rPr>
        <w:t>– a selejtezés helyét és idejét,</w:t>
      </w:r>
    </w:p>
    <w:p w:rsidR="009C78D0" w:rsidRPr="00901A51" w:rsidRDefault="009C78D0" w:rsidP="00901A51">
      <w:pPr>
        <w:jc w:val="both"/>
        <w:rPr>
          <w:rFonts w:ascii="Clarendon" w:hAnsi="Clarendon"/>
        </w:rPr>
      </w:pPr>
      <w:r w:rsidRPr="00901A51">
        <w:rPr>
          <w:rFonts w:ascii="Clarendon" w:hAnsi="Clarendon"/>
        </w:rPr>
        <w:t>– a selejtezett vagyontárgy megnevezését (azonosító adatait; nyilvántartási adatait és mennyiségét, egységárát), a selejtezett mennyiséget és értékét,</w:t>
      </w:r>
    </w:p>
    <w:p w:rsidR="009C78D0" w:rsidRPr="00901A51" w:rsidRDefault="009C78D0" w:rsidP="00901A51">
      <w:pPr>
        <w:jc w:val="both"/>
        <w:rPr>
          <w:rFonts w:ascii="Clarendon" w:hAnsi="Clarendon"/>
        </w:rPr>
      </w:pPr>
      <w:r w:rsidRPr="00901A51">
        <w:rPr>
          <w:rFonts w:ascii="Clarendon" w:hAnsi="Clarendon"/>
        </w:rPr>
        <w:t>– ha történt hulladék–bevételezés, annak értékét és bizonylatának adatait,</w:t>
      </w:r>
    </w:p>
    <w:p w:rsidR="009C78D0" w:rsidRPr="00901A51" w:rsidRDefault="009C78D0" w:rsidP="00901A51">
      <w:pPr>
        <w:jc w:val="both"/>
        <w:rPr>
          <w:rFonts w:ascii="Clarendon" w:hAnsi="Clarendon"/>
        </w:rPr>
      </w:pPr>
      <w:r w:rsidRPr="00901A51">
        <w:rPr>
          <w:rFonts w:ascii="Clarendon" w:hAnsi="Clarendon"/>
        </w:rPr>
        <w:t>– a selejtezett eszköz további kezelésére vonatkozó előírásokat,</w:t>
      </w:r>
    </w:p>
    <w:p w:rsidR="009C78D0" w:rsidRPr="00901A51" w:rsidRDefault="009C78D0" w:rsidP="00901A51">
      <w:pPr>
        <w:jc w:val="both"/>
        <w:rPr>
          <w:rFonts w:ascii="Clarendon" w:hAnsi="Clarendon"/>
        </w:rPr>
      </w:pPr>
      <w:r w:rsidRPr="00901A51">
        <w:rPr>
          <w:rFonts w:ascii="Clarendon" w:hAnsi="Clarendon"/>
        </w:rPr>
        <w:t>– a megsemmisítés módját.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A selejtezésről legalább 4 példányban készített jegyzőkönyvet a Bizottság minden tagjának alá kell írni, melyet a selejtezett eszköztől függetlenül át kell adni a könyvelésnek, míg egy példányt a bizottság köteles megőrizni, a selejtezés során keletkező egyéb iratokkal együtt.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7.6. Ha jogszabály kötelezővé teszi, akkor el kell rendelni a selejtezett vagyontárgyak megsemmisítését. Ezen túlmenően, ha szükséges a Bizottság javasolhatja a megsemmisítést, melyről az Elnökség dönt.</w:t>
      </w:r>
    </w:p>
    <w:p w:rsidR="009C78D0" w:rsidRPr="009C78D0" w:rsidRDefault="009C78D0" w:rsidP="009C78D0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A megsemmisítést a Bizottság vagy kijelölt tagjának jelenlétében kell végrehajtani. A megsemmisítésről jegyzőkönyvet kell felvenni, amelyben rögzíteni kell:</w:t>
      </w:r>
    </w:p>
    <w:p w:rsidR="009C78D0" w:rsidRPr="00901A51" w:rsidRDefault="009C78D0" w:rsidP="00901A51">
      <w:pPr>
        <w:pStyle w:val="Listaszerbekezds"/>
        <w:numPr>
          <w:ilvl w:val="0"/>
          <w:numId w:val="11"/>
        </w:numPr>
        <w:spacing w:before="360"/>
        <w:jc w:val="both"/>
        <w:rPr>
          <w:rFonts w:ascii="Clarendon" w:hAnsi="Clarendon"/>
        </w:rPr>
      </w:pPr>
      <w:r w:rsidRPr="00901A51">
        <w:rPr>
          <w:rFonts w:ascii="Clarendon" w:hAnsi="Clarendon"/>
        </w:rPr>
        <w:t>a jelenlevők nevét,</w:t>
      </w:r>
    </w:p>
    <w:p w:rsidR="009C78D0" w:rsidRPr="00901A51" w:rsidRDefault="009C78D0" w:rsidP="00901A51">
      <w:pPr>
        <w:pStyle w:val="Listaszerbekezds"/>
        <w:numPr>
          <w:ilvl w:val="0"/>
          <w:numId w:val="11"/>
        </w:numPr>
        <w:spacing w:before="360"/>
        <w:jc w:val="both"/>
        <w:rPr>
          <w:rFonts w:ascii="Clarendon" w:hAnsi="Clarendon"/>
        </w:rPr>
      </w:pPr>
      <w:r w:rsidRPr="00901A51">
        <w:rPr>
          <w:rFonts w:ascii="Clarendon" w:hAnsi="Clarendon"/>
        </w:rPr>
        <w:t>a megsemmisített vagyontárgy megnevezését és egyéb azonosítási számát, a vagyontárgyra vonatkozó bizonylatok számát</w:t>
      </w:r>
    </w:p>
    <w:p w:rsidR="009C78D0" w:rsidRPr="00901A51" w:rsidRDefault="009C78D0" w:rsidP="00901A51">
      <w:pPr>
        <w:pStyle w:val="Listaszerbekezds"/>
        <w:numPr>
          <w:ilvl w:val="0"/>
          <w:numId w:val="11"/>
        </w:numPr>
        <w:spacing w:before="360"/>
        <w:jc w:val="both"/>
        <w:rPr>
          <w:rFonts w:ascii="Clarendon" w:hAnsi="Clarendon"/>
        </w:rPr>
      </w:pPr>
      <w:r w:rsidRPr="00901A51">
        <w:rPr>
          <w:rFonts w:ascii="Clarendon" w:hAnsi="Clarendon"/>
        </w:rPr>
        <w:t>a selejtezés helyét és idejét és a megsemmisítés módját.</w:t>
      </w:r>
    </w:p>
    <w:p w:rsidR="009C78D0" w:rsidRPr="009C78D0" w:rsidRDefault="009C78D0" w:rsidP="00901A51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A megsemmisítésről legalább 4 példányban készült jegyzőkönyvet minden jelenlévőnek alá kell írnia, melyet át kell adni a könyvelésnek, míg egy példányt a Bizottság köteles megőrizni.</w:t>
      </w:r>
    </w:p>
    <w:p w:rsidR="009C78D0" w:rsidRPr="00901A51" w:rsidRDefault="009C78D0" w:rsidP="009C78D0">
      <w:pPr>
        <w:spacing w:before="720" w:after="480"/>
        <w:jc w:val="center"/>
        <w:rPr>
          <w:rFonts w:ascii="Clarendon" w:hAnsi="Clarendon"/>
          <w:b/>
        </w:rPr>
      </w:pPr>
      <w:r w:rsidRPr="00901A51">
        <w:rPr>
          <w:rFonts w:ascii="Clarendon" w:hAnsi="Clarendon"/>
          <w:b/>
        </w:rPr>
        <w:t>VIII.</w:t>
      </w:r>
    </w:p>
    <w:p w:rsidR="009C78D0" w:rsidRPr="00901A51" w:rsidRDefault="009C78D0" w:rsidP="009C78D0">
      <w:pPr>
        <w:jc w:val="center"/>
        <w:rPr>
          <w:rFonts w:ascii="Clarendon" w:hAnsi="Clarendon"/>
          <w:b/>
        </w:rPr>
      </w:pPr>
      <w:r w:rsidRPr="00901A51">
        <w:rPr>
          <w:rFonts w:ascii="Clarendon" w:hAnsi="Clarendon"/>
          <w:b/>
        </w:rPr>
        <w:lastRenderedPageBreak/>
        <w:t>A LEÉRTÉKELÉS</w:t>
      </w:r>
    </w:p>
    <w:p w:rsidR="009C78D0" w:rsidRPr="009C78D0" w:rsidRDefault="009C78D0" w:rsidP="00901A51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 xml:space="preserve">Minden évben </w:t>
      </w:r>
      <w:r w:rsidR="00901A51">
        <w:rPr>
          <w:rFonts w:ascii="Clarendon" w:hAnsi="Clarendon"/>
        </w:rPr>
        <w:t>a Szakszervezet</w:t>
      </w:r>
      <w:r w:rsidRPr="009C78D0">
        <w:rPr>
          <w:rFonts w:ascii="Clarendon" w:hAnsi="Clarendon"/>
        </w:rPr>
        <w:t xml:space="preserve"> tulajdonát képező</w:t>
      </w:r>
      <w:r w:rsidR="00901A51">
        <w:rPr>
          <w:rFonts w:ascii="Clarendon" w:hAnsi="Clarendon"/>
        </w:rPr>
        <w:t>,</w:t>
      </w:r>
      <w:r w:rsidRPr="009C78D0">
        <w:rPr>
          <w:rFonts w:ascii="Clarendon" w:hAnsi="Clarendon"/>
        </w:rPr>
        <w:t xml:space="preserve"> ill. kezelésében vagy használatában lévő vagyont az erre vonatkozó jogszabályok szerint kell értékelni</w:t>
      </w:r>
      <w:r w:rsidR="00901A51">
        <w:rPr>
          <w:rFonts w:ascii="Clarendon" w:hAnsi="Clarendon"/>
        </w:rPr>
        <w:t>,</w:t>
      </w:r>
      <w:r w:rsidRPr="009C78D0">
        <w:rPr>
          <w:rFonts w:ascii="Clarendon" w:hAnsi="Clarendon"/>
        </w:rPr>
        <w:t xml:space="preserve"> ill. a mérlegben feltüntetni.</w:t>
      </w:r>
    </w:p>
    <w:p w:rsidR="009C78D0" w:rsidRPr="009C78D0" w:rsidRDefault="009C78D0" w:rsidP="00901A51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Azokat az eszközöket, amelyek az előírásoknak nem felelnek meg vagy eredeti rendeltetésük szerint nem használhatók, csökkent értéken – de legalább anyagáron (hulladékként) –, míg a kiselejtezett készleteket haszonanyag–áron vagy hulladék anyagáron lehet, ill. kell felvenni és a mérlegben szerepeltetni.</w:t>
      </w:r>
    </w:p>
    <w:p w:rsidR="009C78D0" w:rsidRDefault="009C78D0" w:rsidP="00901A51">
      <w:pPr>
        <w:spacing w:before="360"/>
        <w:jc w:val="both"/>
        <w:rPr>
          <w:rFonts w:ascii="Clarendon" w:hAnsi="Clarendon"/>
        </w:rPr>
      </w:pPr>
      <w:r w:rsidRPr="009C78D0">
        <w:rPr>
          <w:rFonts w:ascii="Clarendon" w:hAnsi="Clarendon"/>
        </w:rPr>
        <w:t>Az itt nem szabályozott kérdésekre (selejtezési és eszköz–nyilvántartási) a hatályos jogszabályok előírásai szerint kell alkalmazni.</w:t>
      </w:r>
    </w:p>
    <w:p w:rsidR="00901A51" w:rsidRPr="009C78D0" w:rsidRDefault="00901A51" w:rsidP="00901A51">
      <w:pPr>
        <w:spacing w:before="360"/>
        <w:jc w:val="both"/>
        <w:rPr>
          <w:rFonts w:ascii="Clarendon" w:hAnsi="Clarendon"/>
        </w:rPr>
      </w:pPr>
    </w:p>
    <w:p w:rsidR="009C78D0" w:rsidRPr="00901A51" w:rsidRDefault="009C78D0" w:rsidP="009C78D0">
      <w:pPr>
        <w:pStyle w:val="Cmsor1"/>
        <w:keepNext w:val="0"/>
        <w:spacing w:before="0" w:after="480"/>
        <w:jc w:val="center"/>
        <w:rPr>
          <w:rFonts w:ascii="Clarendon" w:hAnsi="Clarendon"/>
          <w:sz w:val="24"/>
          <w:szCs w:val="24"/>
          <w:u w:val="single"/>
        </w:rPr>
      </w:pPr>
      <w:r w:rsidRPr="00901A51">
        <w:rPr>
          <w:rFonts w:ascii="Clarendon" w:hAnsi="Clarendon" w:cs="Times New Roman"/>
          <w:bCs w:val="0"/>
          <w:sz w:val="24"/>
          <w:szCs w:val="24"/>
        </w:rPr>
        <w:t>IX. ZÁRÓ RENDELKEZÉSEK</w:t>
      </w:r>
    </w:p>
    <w:p w:rsidR="009C78D0" w:rsidRPr="009C78D0" w:rsidRDefault="009C78D0" w:rsidP="009C78D0">
      <w:pPr>
        <w:tabs>
          <w:tab w:val="left" w:pos="540"/>
        </w:tabs>
        <w:jc w:val="both"/>
        <w:rPr>
          <w:rFonts w:ascii="Clarendon" w:hAnsi="Clarendon"/>
          <w:b/>
          <w:u w:val="single"/>
        </w:rPr>
      </w:pPr>
    </w:p>
    <w:p w:rsidR="009C78D0" w:rsidRPr="009C78D0" w:rsidRDefault="009C78D0" w:rsidP="009C78D0">
      <w:pPr>
        <w:jc w:val="both"/>
        <w:rPr>
          <w:rFonts w:ascii="Clarendon" w:hAnsi="Clarendon"/>
          <w:b/>
          <w:u w:val="single"/>
        </w:rPr>
      </w:pPr>
      <w:r w:rsidRPr="009C78D0">
        <w:rPr>
          <w:rFonts w:ascii="Clarendon" w:hAnsi="Clarendon"/>
        </w:rPr>
        <w:t>Jelen szabályzat az elfogadást követő napon lép hatályba</w:t>
      </w:r>
      <w:r w:rsidR="00901A51">
        <w:rPr>
          <w:rFonts w:ascii="Clarendon" w:hAnsi="Clarendon"/>
        </w:rPr>
        <w:t>.</w:t>
      </w:r>
    </w:p>
    <w:p w:rsidR="009C78D0" w:rsidRPr="009C78D0" w:rsidRDefault="009C78D0" w:rsidP="009C78D0">
      <w:pPr>
        <w:tabs>
          <w:tab w:val="left" w:pos="540"/>
        </w:tabs>
        <w:ind w:left="540"/>
        <w:jc w:val="both"/>
        <w:rPr>
          <w:rFonts w:ascii="Clarendon" w:hAnsi="Clarendon"/>
          <w:b/>
          <w:u w:val="single"/>
        </w:rPr>
      </w:pPr>
    </w:p>
    <w:p w:rsidR="009C78D0" w:rsidRPr="009C78D0" w:rsidRDefault="009C78D0" w:rsidP="009C78D0">
      <w:pPr>
        <w:tabs>
          <w:tab w:val="left" w:pos="720"/>
        </w:tabs>
        <w:autoSpaceDE w:val="0"/>
        <w:spacing w:before="96"/>
        <w:jc w:val="both"/>
        <w:rPr>
          <w:rFonts w:ascii="Clarendon" w:hAnsi="Clarendon"/>
        </w:rPr>
      </w:pPr>
    </w:p>
    <w:p w:rsidR="009C78D0" w:rsidRDefault="00877542" w:rsidP="009C78D0">
      <w:pPr>
        <w:rPr>
          <w:rFonts w:ascii="Clarendon" w:hAnsi="Clarendon"/>
        </w:rPr>
      </w:pPr>
      <w:r>
        <w:rPr>
          <w:rFonts w:ascii="Clarendon" w:hAnsi="Clarendon"/>
        </w:rPr>
        <w:t>Budapest, 2014</w:t>
      </w:r>
      <w:r w:rsidR="00901A51">
        <w:rPr>
          <w:rFonts w:ascii="Clarendon" w:hAnsi="Clarendon"/>
        </w:rPr>
        <w:t>.</w:t>
      </w:r>
      <w:r>
        <w:rPr>
          <w:rFonts w:ascii="Clarendon" w:hAnsi="Clarendon"/>
        </w:rPr>
        <w:t xml:space="preserve"> október</w:t>
      </w:r>
      <w:r w:rsidR="00901A51">
        <w:rPr>
          <w:rFonts w:ascii="Clarendon" w:hAnsi="Clarendon"/>
        </w:rPr>
        <w:t xml:space="preserve"> 0</w:t>
      </w:r>
      <w:r>
        <w:rPr>
          <w:rFonts w:ascii="Clarendon" w:hAnsi="Clarendon"/>
        </w:rPr>
        <w:t>3</w:t>
      </w:r>
      <w:bookmarkStart w:id="0" w:name="_GoBack"/>
      <w:bookmarkEnd w:id="0"/>
      <w:r w:rsidR="00901A51">
        <w:rPr>
          <w:rFonts w:ascii="Clarendon" w:hAnsi="Clarendon"/>
        </w:rPr>
        <w:t>.</w:t>
      </w:r>
    </w:p>
    <w:p w:rsidR="00901A51" w:rsidRDefault="00901A51" w:rsidP="009C78D0">
      <w:pPr>
        <w:rPr>
          <w:rFonts w:ascii="Clarendon" w:hAnsi="Clarendon"/>
        </w:rPr>
      </w:pPr>
    </w:p>
    <w:p w:rsidR="00901A51" w:rsidRPr="009C78D0" w:rsidRDefault="00901A51" w:rsidP="009C78D0">
      <w:pPr>
        <w:rPr>
          <w:rFonts w:ascii="Clarendon" w:hAnsi="Clarendon"/>
        </w:rPr>
      </w:pPr>
    </w:p>
    <w:p w:rsidR="009C78D0" w:rsidRPr="009C78D0" w:rsidRDefault="009C78D0" w:rsidP="009C78D0">
      <w:pPr>
        <w:rPr>
          <w:rFonts w:ascii="Clarendon" w:hAnsi="Clarendon"/>
        </w:rPr>
      </w:pPr>
    </w:p>
    <w:p w:rsidR="009C78D0" w:rsidRPr="009C78D0" w:rsidRDefault="009C78D0" w:rsidP="009C78D0">
      <w:pPr>
        <w:rPr>
          <w:rFonts w:ascii="Clarendon" w:hAnsi="Clarendon"/>
        </w:rPr>
      </w:pPr>
      <w:r w:rsidRPr="009C78D0">
        <w:rPr>
          <w:rFonts w:ascii="Clarendon" w:hAnsi="Clarendon"/>
        </w:rPr>
        <w:tab/>
      </w:r>
      <w:r w:rsidRPr="009C78D0">
        <w:rPr>
          <w:rFonts w:ascii="Clarendon" w:hAnsi="Clarendon"/>
        </w:rPr>
        <w:tab/>
      </w:r>
      <w:r w:rsidRPr="009C78D0">
        <w:rPr>
          <w:rFonts w:ascii="Clarendon" w:hAnsi="Clarendon"/>
        </w:rPr>
        <w:tab/>
      </w:r>
      <w:r w:rsidRPr="009C78D0">
        <w:rPr>
          <w:rFonts w:ascii="Clarendon" w:hAnsi="Clarendon"/>
        </w:rPr>
        <w:tab/>
      </w:r>
      <w:r w:rsidRPr="009C78D0">
        <w:rPr>
          <w:rFonts w:ascii="Clarendon" w:hAnsi="Clarendon"/>
        </w:rPr>
        <w:tab/>
      </w:r>
      <w:r w:rsidRPr="009C78D0">
        <w:rPr>
          <w:rFonts w:ascii="Clarendon" w:hAnsi="Clarendon"/>
        </w:rPr>
        <w:tab/>
      </w:r>
      <w:r w:rsidRPr="009C78D0">
        <w:rPr>
          <w:rFonts w:ascii="Clarendon" w:hAnsi="Clarendon"/>
        </w:rPr>
        <w:tab/>
      </w:r>
      <w:r w:rsidRPr="009C78D0">
        <w:rPr>
          <w:rFonts w:ascii="Clarendon" w:hAnsi="Clarendon"/>
        </w:rPr>
        <w:tab/>
      </w:r>
      <w:r w:rsidRPr="009C78D0">
        <w:rPr>
          <w:rFonts w:ascii="Clarendon" w:hAnsi="Clarendon"/>
        </w:rPr>
        <w:tab/>
      </w:r>
      <w:r w:rsidR="00901A51">
        <w:rPr>
          <w:rFonts w:ascii="Clarendon" w:hAnsi="Clarendon"/>
        </w:rPr>
        <w:t>Biri László</w:t>
      </w:r>
    </w:p>
    <w:p w:rsidR="009C78D0" w:rsidRPr="009C78D0" w:rsidRDefault="009C78D0" w:rsidP="005F6B24">
      <w:pPr>
        <w:rPr>
          <w:rFonts w:ascii="Clarendon" w:hAnsi="Clarendon"/>
        </w:rPr>
      </w:pPr>
      <w:r w:rsidRPr="009C78D0">
        <w:rPr>
          <w:rFonts w:ascii="Clarendon" w:hAnsi="Clarendon"/>
        </w:rPr>
        <w:tab/>
      </w:r>
      <w:r w:rsidRPr="009C78D0">
        <w:rPr>
          <w:rFonts w:ascii="Clarendon" w:hAnsi="Clarendon"/>
        </w:rPr>
        <w:tab/>
      </w:r>
      <w:r w:rsidRPr="009C78D0">
        <w:rPr>
          <w:rFonts w:ascii="Clarendon" w:hAnsi="Clarendon"/>
        </w:rPr>
        <w:tab/>
      </w:r>
      <w:r w:rsidRPr="009C78D0">
        <w:rPr>
          <w:rFonts w:ascii="Clarendon" w:hAnsi="Clarendon"/>
        </w:rPr>
        <w:tab/>
      </w:r>
      <w:r w:rsidRPr="009C78D0">
        <w:rPr>
          <w:rFonts w:ascii="Clarendon" w:hAnsi="Clarendon"/>
        </w:rPr>
        <w:tab/>
      </w:r>
      <w:r w:rsidRPr="009C78D0">
        <w:rPr>
          <w:rFonts w:ascii="Clarendon" w:hAnsi="Clarendon"/>
        </w:rPr>
        <w:tab/>
      </w:r>
      <w:r w:rsidRPr="009C78D0">
        <w:rPr>
          <w:rFonts w:ascii="Clarendon" w:hAnsi="Clarendon"/>
        </w:rPr>
        <w:tab/>
      </w:r>
      <w:r w:rsidRPr="009C78D0">
        <w:rPr>
          <w:rFonts w:ascii="Clarendon" w:hAnsi="Clarendon"/>
        </w:rPr>
        <w:tab/>
      </w:r>
      <w:r w:rsidRPr="009C78D0">
        <w:rPr>
          <w:rFonts w:ascii="Clarendon" w:hAnsi="Clarendon"/>
        </w:rPr>
        <w:tab/>
        <w:t xml:space="preserve">     elnök</w:t>
      </w:r>
    </w:p>
    <w:sectPr w:rsidR="009C78D0" w:rsidRPr="009C78D0" w:rsidSect="00B675D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1418" w:left="1418" w:header="7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CF7" w:rsidRDefault="00B50CF7">
      <w:r>
        <w:separator/>
      </w:r>
    </w:p>
  </w:endnote>
  <w:endnote w:type="continuationSeparator" w:id="0">
    <w:p w:rsidR="00B50CF7" w:rsidRDefault="00B50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larendon">
    <w:altName w:val="Century"/>
    <w:charset w:val="EE"/>
    <w:family w:val="roman"/>
    <w:pitch w:val="variable"/>
    <w:sig w:usb0="00000001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altName w:val="MS Mincho"/>
    <w:charset w:val="80"/>
    <w:family w:val="auto"/>
    <w:pitch w:val="default"/>
  </w:font>
  <w:font w:name="DejaVu Sans">
    <w:charset w:val="8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A51" w:rsidRDefault="00901A5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A51" w:rsidRDefault="00B50CF7">
    <w:pPr>
      <w:pStyle w:val="llb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5.85pt;height:13.6pt;z-index:251657728;mso-wrap-distance-left:0;mso-wrap-distance-right:0;mso-position-horizontal:center;mso-position-horizontal-relative:margin;mso-position-vertical:absolute;mso-position-vertical-relative:text" stroked="f">
          <v:fill opacity="0" color2="black"/>
          <v:textbox inset="0,0,0,0">
            <w:txbxContent>
              <w:p w:rsidR="00901A51" w:rsidRDefault="00082D49">
                <w:pPr>
                  <w:pStyle w:val="llb"/>
                </w:pPr>
                <w:r>
                  <w:rPr>
                    <w:rStyle w:val="Oldalszm"/>
                  </w:rPr>
                  <w:fldChar w:fldCharType="begin"/>
                </w:r>
                <w:r w:rsidR="00901A51">
                  <w:rPr>
                    <w:rStyle w:val="Oldalszm"/>
                  </w:rPr>
                  <w:instrText xml:space="preserve"> PAGE </w:instrText>
                </w:r>
                <w:r>
                  <w:rPr>
                    <w:rStyle w:val="Oldalszm"/>
                  </w:rPr>
                  <w:fldChar w:fldCharType="separate"/>
                </w:r>
                <w:r w:rsidR="00877542">
                  <w:rPr>
                    <w:rStyle w:val="Oldalszm"/>
                    <w:noProof/>
                  </w:rPr>
                  <w:t>6</w:t>
                </w:r>
                <w:r>
                  <w:rPr>
                    <w:rStyle w:val="Oldalszm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A51" w:rsidRDefault="00901A5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CF7" w:rsidRDefault="00B50CF7">
      <w:r>
        <w:separator/>
      </w:r>
    </w:p>
  </w:footnote>
  <w:footnote w:type="continuationSeparator" w:id="0">
    <w:p w:rsidR="00B50CF7" w:rsidRDefault="00B50C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A51" w:rsidRDefault="00901A5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A51" w:rsidRDefault="00901A5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A51" w:rsidRDefault="00901A5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)"/>
      <w:lvlJc w:val="left"/>
      <w:pPr>
        <w:tabs>
          <w:tab w:val="num" w:pos="735"/>
        </w:tabs>
        <w:ind w:left="735" w:hanging="375"/>
      </w:pPr>
    </w:lvl>
    <w:lvl w:ilvl="1">
      <w:start w:val="1"/>
      <w:numFmt w:val="lowerLetter"/>
      <w:lvlText w:val="%2.)"/>
      <w:lvlJc w:val="left"/>
      <w:pPr>
        <w:tabs>
          <w:tab w:val="num" w:pos="1440"/>
        </w:tabs>
        <w:ind w:left="1440" w:hanging="360"/>
      </w:pPr>
    </w:lvl>
    <w:lvl w:ilvl="2">
      <w:start w:val="4"/>
      <w:numFmt w:val="upperRoman"/>
      <w:lvlText w:val="%3."/>
      <w:lvlJc w:val="left"/>
      <w:pPr>
        <w:tabs>
          <w:tab w:val="num" w:pos="2700"/>
        </w:tabs>
        <w:ind w:left="270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hAnsi="Times New Roman" w:cs="Times New Roman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9">
    <w:nsid w:val="6C0C4765"/>
    <w:multiLevelType w:val="hybridMultilevel"/>
    <w:tmpl w:val="D146F8F4"/>
    <w:lvl w:ilvl="0" w:tplc="9AF400E0">
      <w:start w:val="9"/>
      <w:numFmt w:val="bullet"/>
      <w:lvlText w:val="–"/>
      <w:lvlJc w:val="left"/>
      <w:pPr>
        <w:ind w:left="720" w:hanging="360"/>
      </w:pPr>
      <w:rPr>
        <w:rFonts w:ascii="Clarendon" w:eastAsia="Times New Roman" w:hAnsi="Clarendo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272C4C"/>
    <w:multiLevelType w:val="hybridMultilevel"/>
    <w:tmpl w:val="37701F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728D"/>
    <w:rsid w:val="00082D49"/>
    <w:rsid w:val="000C2AD4"/>
    <w:rsid w:val="00164915"/>
    <w:rsid w:val="0020728D"/>
    <w:rsid w:val="003765BD"/>
    <w:rsid w:val="005F6B24"/>
    <w:rsid w:val="006B618D"/>
    <w:rsid w:val="007669E4"/>
    <w:rsid w:val="00877542"/>
    <w:rsid w:val="00901A51"/>
    <w:rsid w:val="009C78D0"/>
    <w:rsid w:val="00AF5448"/>
    <w:rsid w:val="00B50CF7"/>
    <w:rsid w:val="00B675D9"/>
    <w:rsid w:val="00F7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675D9"/>
    <w:pPr>
      <w:suppressAutoHyphens/>
    </w:pPr>
    <w:rPr>
      <w:sz w:val="24"/>
      <w:szCs w:val="24"/>
      <w:lang w:eastAsia="zh-CN"/>
    </w:rPr>
  </w:style>
  <w:style w:type="paragraph" w:styleId="Cmsor1">
    <w:name w:val="heading 1"/>
    <w:basedOn w:val="Norml"/>
    <w:next w:val="Norml"/>
    <w:qFormat/>
    <w:rsid w:val="00B675D9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Cmsor2">
    <w:name w:val="heading 2"/>
    <w:basedOn w:val="Norml"/>
    <w:next w:val="Norml"/>
    <w:qFormat/>
    <w:rsid w:val="00B675D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B675D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2z0">
    <w:name w:val="WW8Num2z0"/>
    <w:rsid w:val="00B675D9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B675D9"/>
    <w:rPr>
      <w:rFonts w:ascii="Times New Roman" w:eastAsia="Times New Roman" w:hAnsi="Times New Roman" w:cs="Times New Roman"/>
    </w:rPr>
  </w:style>
  <w:style w:type="character" w:customStyle="1" w:styleId="WW8Num5z0">
    <w:name w:val="WW8Num5z0"/>
    <w:rsid w:val="00B675D9"/>
    <w:rPr>
      <w:rFonts w:ascii="Times New Roman" w:hAnsi="Times New Roman" w:cs="Times New Roman"/>
    </w:rPr>
  </w:style>
  <w:style w:type="character" w:customStyle="1" w:styleId="WW8Num6z0">
    <w:name w:val="WW8Num6z0"/>
    <w:rsid w:val="00B675D9"/>
    <w:rPr>
      <w:rFonts w:ascii="Times New Roman" w:hAnsi="Times New Roman" w:cs="Times New Roman"/>
    </w:rPr>
  </w:style>
  <w:style w:type="character" w:customStyle="1" w:styleId="WW8Num7z0">
    <w:name w:val="WW8Num7z0"/>
    <w:rsid w:val="00B675D9"/>
    <w:rPr>
      <w:rFonts w:ascii="Times New Roman" w:eastAsia="Times New Roman" w:hAnsi="Times New Roman" w:cs="Times New Roman"/>
    </w:rPr>
  </w:style>
  <w:style w:type="character" w:customStyle="1" w:styleId="WW8Num8z0">
    <w:name w:val="WW8Num8z0"/>
    <w:rsid w:val="00B675D9"/>
    <w:rPr>
      <w:rFonts w:ascii="Times New Roman" w:hAnsi="Times New Roman" w:cs="Times New Roman"/>
    </w:rPr>
  </w:style>
  <w:style w:type="character" w:customStyle="1" w:styleId="WW8Num9z0">
    <w:name w:val="WW8Num9z0"/>
    <w:rsid w:val="00B675D9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B675D9"/>
  </w:style>
  <w:style w:type="character" w:customStyle="1" w:styleId="WW-Absatz-Standardschriftart">
    <w:name w:val="WW-Absatz-Standardschriftart"/>
    <w:rsid w:val="00B675D9"/>
  </w:style>
  <w:style w:type="character" w:customStyle="1" w:styleId="WW-Absatz-Standardschriftart1">
    <w:name w:val="WW-Absatz-Standardschriftart1"/>
    <w:rsid w:val="00B675D9"/>
  </w:style>
  <w:style w:type="character" w:customStyle="1" w:styleId="WW8Num2z1">
    <w:name w:val="WW8Num2z1"/>
    <w:rsid w:val="00B675D9"/>
    <w:rPr>
      <w:rFonts w:ascii="Courier New" w:hAnsi="Courier New" w:cs="Courier New"/>
    </w:rPr>
  </w:style>
  <w:style w:type="character" w:customStyle="1" w:styleId="WW8Num2z2">
    <w:name w:val="WW8Num2z2"/>
    <w:rsid w:val="00B675D9"/>
    <w:rPr>
      <w:rFonts w:ascii="Wingdings" w:hAnsi="Wingdings" w:cs="Wingdings"/>
    </w:rPr>
  </w:style>
  <w:style w:type="character" w:customStyle="1" w:styleId="WW8Num2z3">
    <w:name w:val="WW8Num2z3"/>
    <w:rsid w:val="00B675D9"/>
    <w:rPr>
      <w:rFonts w:ascii="Symbol" w:hAnsi="Symbol" w:cs="Symbol"/>
    </w:rPr>
  </w:style>
  <w:style w:type="character" w:customStyle="1" w:styleId="WW8Num3z1">
    <w:name w:val="WW8Num3z1"/>
    <w:rsid w:val="00B675D9"/>
    <w:rPr>
      <w:rFonts w:ascii="Courier New" w:hAnsi="Courier New" w:cs="Courier New"/>
    </w:rPr>
  </w:style>
  <w:style w:type="character" w:customStyle="1" w:styleId="WW8Num3z2">
    <w:name w:val="WW8Num3z2"/>
    <w:rsid w:val="00B675D9"/>
    <w:rPr>
      <w:rFonts w:ascii="Wingdings" w:hAnsi="Wingdings" w:cs="Wingdings"/>
    </w:rPr>
  </w:style>
  <w:style w:type="character" w:customStyle="1" w:styleId="WW8Num3z3">
    <w:name w:val="WW8Num3z3"/>
    <w:rsid w:val="00B675D9"/>
    <w:rPr>
      <w:rFonts w:ascii="Symbol" w:hAnsi="Symbol" w:cs="Symbol"/>
    </w:rPr>
  </w:style>
  <w:style w:type="character" w:customStyle="1" w:styleId="WW8Num4z0">
    <w:name w:val="WW8Num4z0"/>
    <w:rsid w:val="00B675D9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B675D9"/>
    <w:rPr>
      <w:rFonts w:ascii="Courier New" w:hAnsi="Courier New" w:cs="Courier New"/>
    </w:rPr>
  </w:style>
  <w:style w:type="character" w:customStyle="1" w:styleId="WW8Num4z2">
    <w:name w:val="WW8Num4z2"/>
    <w:rsid w:val="00B675D9"/>
    <w:rPr>
      <w:rFonts w:ascii="Wingdings" w:hAnsi="Wingdings" w:cs="Wingdings"/>
    </w:rPr>
  </w:style>
  <w:style w:type="character" w:customStyle="1" w:styleId="WW8Num4z3">
    <w:name w:val="WW8Num4z3"/>
    <w:rsid w:val="00B675D9"/>
    <w:rPr>
      <w:rFonts w:ascii="Symbol" w:hAnsi="Symbol" w:cs="Symbol"/>
    </w:rPr>
  </w:style>
  <w:style w:type="character" w:customStyle="1" w:styleId="WW8Num7z1">
    <w:name w:val="WW8Num7z1"/>
    <w:rsid w:val="00B675D9"/>
    <w:rPr>
      <w:rFonts w:ascii="Courier New" w:hAnsi="Courier New" w:cs="Courier New"/>
    </w:rPr>
  </w:style>
  <w:style w:type="character" w:customStyle="1" w:styleId="WW8Num7z2">
    <w:name w:val="WW8Num7z2"/>
    <w:rsid w:val="00B675D9"/>
    <w:rPr>
      <w:rFonts w:ascii="Wingdings" w:hAnsi="Wingdings" w:cs="Wingdings"/>
    </w:rPr>
  </w:style>
  <w:style w:type="character" w:customStyle="1" w:styleId="WW8Num7z3">
    <w:name w:val="WW8Num7z3"/>
    <w:rsid w:val="00B675D9"/>
    <w:rPr>
      <w:rFonts w:ascii="Symbol" w:hAnsi="Symbol" w:cs="Symbol"/>
    </w:rPr>
  </w:style>
  <w:style w:type="character" w:customStyle="1" w:styleId="WW8Num9z1">
    <w:name w:val="WW8Num9z1"/>
    <w:rsid w:val="00B675D9"/>
    <w:rPr>
      <w:rFonts w:ascii="Courier New" w:hAnsi="Courier New" w:cs="Courier New"/>
    </w:rPr>
  </w:style>
  <w:style w:type="character" w:customStyle="1" w:styleId="WW8Num9z2">
    <w:name w:val="WW8Num9z2"/>
    <w:rsid w:val="00B675D9"/>
    <w:rPr>
      <w:rFonts w:ascii="Wingdings" w:hAnsi="Wingdings" w:cs="Wingdings"/>
    </w:rPr>
  </w:style>
  <w:style w:type="character" w:customStyle="1" w:styleId="WW8Num9z3">
    <w:name w:val="WW8Num9z3"/>
    <w:rsid w:val="00B675D9"/>
    <w:rPr>
      <w:rFonts w:ascii="Symbol" w:hAnsi="Symbol" w:cs="Symbol"/>
    </w:rPr>
  </w:style>
  <w:style w:type="character" w:customStyle="1" w:styleId="WW8Num10z0">
    <w:name w:val="WW8Num10z0"/>
    <w:rsid w:val="00B675D9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B675D9"/>
    <w:rPr>
      <w:rFonts w:ascii="Courier New" w:hAnsi="Courier New" w:cs="Courier New"/>
    </w:rPr>
  </w:style>
  <w:style w:type="character" w:customStyle="1" w:styleId="WW8Num10z2">
    <w:name w:val="WW8Num10z2"/>
    <w:rsid w:val="00B675D9"/>
    <w:rPr>
      <w:rFonts w:ascii="Wingdings" w:hAnsi="Wingdings" w:cs="Wingdings"/>
    </w:rPr>
  </w:style>
  <w:style w:type="character" w:customStyle="1" w:styleId="WW8Num10z3">
    <w:name w:val="WW8Num10z3"/>
    <w:rsid w:val="00B675D9"/>
    <w:rPr>
      <w:rFonts w:ascii="Symbol" w:hAnsi="Symbol" w:cs="Symbol"/>
    </w:rPr>
  </w:style>
  <w:style w:type="character" w:customStyle="1" w:styleId="WW8Num11z0">
    <w:name w:val="WW8Num11z0"/>
    <w:rsid w:val="00B675D9"/>
    <w:rPr>
      <w:rFonts w:ascii="Times New Roman" w:eastAsia="Times New Roman" w:hAnsi="Times New Roman" w:cs="Times New Roman"/>
    </w:rPr>
  </w:style>
  <w:style w:type="character" w:customStyle="1" w:styleId="WW8Num11z2">
    <w:name w:val="WW8Num11z2"/>
    <w:rsid w:val="00B675D9"/>
    <w:rPr>
      <w:rFonts w:ascii="Wingdings" w:hAnsi="Wingdings" w:cs="Wingdings"/>
    </w:rPr>
  </w:style>
  <w:style w:type="character" w:customStyle="1" w:styleId="WW8Num11z3">
    <w:name w:val="WW8Num11z3"/>
    <w:rsid w:val="00B675D9"/>
    <w:rPr>
      <w:rFonts w:ascii="Symbol" w:hAnsi="Symbol" w:cs="Symbol"/>
    </w:rPr>
  </w:style>
  <w:style w:type="character" w:customStyle="1" w:styleId="WW8Num11z4">
    <w:name w:val="WW8Num11z4"/>
    <w:rsid w:val="00B675D9"/>
    <w:rPr>
      <w:rFonts w:ascii="Courier New" w:hAnsi="Courier New" w:cs="Courier New"/>
    </w:rPr>
  </w:style>
  <w:style w:type="character" w:customStyle="1" w:styleId="WW8Num12z0">
    <w:name w:val="WW8Num12z0"/>
    <w:rsid w:val="00B675D9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B675D9"/>
    <w:rPr>
      <w:rFonts w:ascii="Courier New" w:hAnsi="Courier New" w:cs="Courier New"/>
    </w:rPr>
  </w:style>
  <w:style w:type="character" w:customStyle="1" w:styleId="WW8Num12z2">
    <w:name w:val="WW8Num12z2"/>
    <w:rsid w:val="00B675D9"/>
    <w:rPr>
      <w:rFonts w:ascii="Wingdings" w:hAnsi="Wingdings" w:cs="Wingdings"/>
    </w:rPr>
  </w:style>
  <w:style w:type="character" w:customStyle="1" w:styleId="WW8Num12z3">
    <w:name w:val="WW8Num12z3"/>
    <w:rsid w:val="00B675D9"/>
    <w:rPr>
      <w:rFonts w:ascii="Symbol" w:hAnsi="Symbol" w:cs="Symbol"/>
    </w:rPr>
  </w:style>
  <w:style w:type="character" w:customStyle="1" w:styleId="WW8Num13z0">
    <w:name w:val="WW8Num13z0"/>
    <w:rsid w:val="00B675D9"/>
    <w:rPr>
      <w:rFonts w:ascii="Wingdings" w:hAnsi="Wingdings" w:cs="Wingdings"/>
    </w:rPr>
  </w:style>
  <w:style w:type="character" w:customStyle="1" w:styleId="WW8Num13z1">
    <w:name w:val="WW8Num13z1"/>
    <w:rsid w:val="00B675D9"/>
    <w:rPr>
      <w:rFonts w:ascii="Courier New" w:hAnsi="Courier New" w:cs="Courier New"/>
    </w:rPr>
  </w:style>
  <w:style w:type="character" w:customStyle="1" w:styleId="WW8Num13z3">
    <w:name w:val="WW8Num13z3"/>
    <w:rsid w:val="00B675D9"/>
    <w:rPr>
      <w:rFonts w:ascii="Symbol" w:hAnsi="Symbol" w:cs="Symbol"/>
    </w:rPr>
  </w:style>
  <w:style w:type="character" w:customStyle="1" w:styleId="WW8Num14z0">
    <w:name w:val="WW8Num14z0"/>
    <w:rsid w:val="00B675D9"/>
    <w:rPr>
      <w:rFonts w:ascii="Wingdings" w:hAnsi="Wingdings" w:cs="Wingdings"/>
    </w:rPr>
  </w:style>
  <w:style w:type="character" w:customStyle="1" w:styleId="WW8Num14z1">
    <w:name w:val="WW8Num14z1"/>
    <w:rsid w:val="00B675D9"/>
    <w:rPr>
      <w:rFonts w:ascii="Courier New" w:hAnsi="Courier New" w:cs="Courier New"/>
    </w:rPr>
  </w:style>
  <w:style w:type="character" w:customStyle="1" w:styleId="WW8Num14z3">
    <w:name w:val="WW8Num14z3"/>
    <w:rsid w:val="00B675D9"/>
    <w:rPr>
      <w:rFonts w:ascii="Symbol" w:hAnsi="Symbol" w:cs="Symbol"/>
    </w:rPr>
  </w:style>
  <w:style w:type="character" w:customStyle="1" w:styleId="Bekezdsalapbettpusa1">
    <w:name w:val="Bekezdés alapbetűtípusa1"/>
    <w:rsid w:val="00B675D9"/>
  </w:style>
  <w:style w:type="character" w:styleId="Hiperhivatkozs">
    <w:name w:val="Hyperlink"/>
    <w:basedOn w:val="Bekezdsalapbettpusa1"/>
    <w:rsid w:val="00B675D9"/>
    <w:rPr>
      <w:color w:val="0000FF"/>
      <w:u w:val="single"/>
    </w:rPr>
  </w:style>
  <w:style w:type="character" w:styleId="Oldalszm">
    <w:name w:val="page number"/>
    <w:basedOn w:val="Bekezdsalapbettpusa1"/>
    <w:rsid w:val="00B675D9"/>
  </w:style>
  <w:style w:type="paragraph" w:customStyle="1" w:styleId="Cmsor">
    <w:name w:val="Címsor"/>
    <w:basedOn w:val="Norml"/>
    <w:next w:val="Szvegtrzs"/>
    <w:rsid w:val="00B675D9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Szvegtrzs">
    <w:name w:val="Body Text"/>
    <w:basedOn w:val="Norml"/>
    <w:rsid w:val="00B675D9"/>
    <w:pPr>
      <w:spacing w:after="120"/>
    </w:pPr>
  </w:style>
  <w:style w:type="paragraph" w:styleId="Lista">
    <w:name w:val="List"/>
    <w:basedOn w:val="Szvegtrzs"/>
    <w:rsid w:val="00B675D9"/>
  </w:style>
  <w:style w:type="paragraph" w:styleId="Kpalrs">
    <w:name w:val="caption"/>
    <w:basedOn w:val="Norml"/>
    <w:qFormat/>
    <w:rsid w:val="00B675D9"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l"/>
    <w:rsid w:val="00B675D9"/>
    <w:pPr>
      <w:suppressLineNumbers/>
    </w:pPr>
  </w:style>
  <w:style w:type="paragraph" w:styleId="TJ1">
    <w:name w:val="toc 1"/>
    <w:basedOn w:val="Norml"/>
    <w:next w:val="Norml"/>
    <w:rsid w:val="00B675D9"/>
    <w:pPr>
      <w:spacing w:before="240" w:after="120"/>
    </w:pPr>
    <w:rPr>
      <w:b/>
      <w:bCs/>
      <w:sz w:val="20"/>
      <w:szCs w:val="20"/>
    </w:rPr>
  </w:style>
  <w:style w:type="paragraph" w:styleId="TJ2">
    <w:name w:val="toc 2"/>
    <w:basedOn w:val="Norml"/>
    <w:next w:val="Norml"/>
    <w:rsid w:val="00B675D9"/>
    <w:pPr>
      <w:spacing w:before="120"/>
      <w:ind w:left="240"/>
    </w:pPr>
    <w:rPr>
      <w:i/>
      <w:iCs/>
      <w:sz w:val="20"/>
      <w:szCs w:val="20"/>
    </w:rPr>
  </w:style>
  <w:style w:type="paragraph" w:styleId="TJ3">
    <w:name w:val="toc 3"/>
    <w:basedOn w:val="Norml"/>
    <w:next w:val="Norml"/>
    <w:rsid w:val="00B675D9"/>
    <w:pPr>
      <w:ind w:left="480"/>
    </w:pPr>
    <w:rPr>
      <w:sz w:val="20"/>
      <w:szCs w:val="20"/>
    </w:rPr>
  </w:style>
  <w:style w:type="paragraph" w:styleId="TJ4">
    <w:name w:val="toc 4"/>
    <w:basedOn w:val="Norml"/>
    <w:next w:val="Norml"/>
    <w:rsid w:val="00B675D9"/>
    <w:pPr>
      <w:ind w:left="720"/>
    </w:pPr>
    <w:rPr>
      <w:sz w:val="20"/>
      <w:szCs w:val="20"/>
    </w:rPr>
  </w:style>
  <w:style w:type="paragraph" w:styleId="TJ5">
    <w:name w:val="toc 5"/>
    <w:basedOn w:val="Norml"/>
    <w:next w:val="Norml"/>
    <w:rsid w:val="00B675D9"/>
    <w:pPr>
      <w:ind w:left="960"/>
    </w:pPr>
    <w:rPr>
      <w:sz w:val="20"/>
      <w:szCs w:val="20"/>
    </w:rPr>
  </w:style>
  <w:style w:type="paragraph" w:styleId="TJ6">
    <w:name w:val="toc 6"/>
    <w:basedOn w:val="Norml"/>
    <w:next w:val="Norml"/>
    <w:rsid w:val="00B675D9"/>
    <w:pPr>
      <w:ind w:left="1200"/>
    </w:pPr>
    <w:rPr>
      <w:sz w:val="20"/>
      <w:szCs w:val="20"/>
    </w:rPr>
  </w:style>
  <w:style w:type="paragraph" w:styleId="TJ7">
    <w:name w:val="toc 7"/>
    <w:basedOn w:val="Norml"/>
    <w:next w:val="Norml"/>
    <w:rsid w:val="00B675D9"/>
    <w:pPr>
      <w:ind w:left="1440"/>
    </w:pPr>
    <w:rPr>
      <w:sz w:val="20"/>
      <w:szCs w:val="20"/>
    </w:rPr>
  </w:style>
  <w:style w:type="paragraph" w:styleId="TJ8">
    <w:name w:val="toc 8"/>
    <w:basedOn w:val="Norml"/>
    <w:next w:val="Norml"/>
    <w:rsid w:val="00B675D9"/>
    <w:pPr>
      <w:ind w:left="1680"/>
    </w:pPr>
    <w:rPr>
      <w:sz w:val="20"/>
      <w:szCs w:val="20"/>
    </w:rPr>
  </w:style>
  <w:style w:type="paragraph" w:styleId="TJ9">
    <w:name w:val="toc 9"/>
    <w:basedOn w:val="Norml"/>
    <w:next w:val="Norml"/>
    <w:rsid w:val="00B675D9"/>
    <w:pPr>
      <w:ind w:left="1920"/>
    </w:pPr>
    <w:rPr>
      <w:sz w:val="20"/>
      <w:szCs w:val="20"/>
    </w:rPr>
  </w:style>
  <w:style w:type="paragraph" w:styleId="llb">
    <w:name w:val="footer"/>
    <w:basedOn w:val="Norml"/>
    <w:rsid w:val="00B675D9"/>
    <w:pPr>
      <w:tabs>
        <w:tab w:val="center" w:pos="4536"/>
        <w:tab w:val="right" w:pos="9072"/>
      </w:tabs>
    </w:pPr>
  </w:style>
  <w:style w:type="paragraph" w:customStyle="1" w:styleId="Kerettartalom">
    <w:name w:val="Kerettartalom"/>
    <w:basedOn w:val="Szvegtrzs"/>
    <w:rsid w:val="00B675D9"/>
  </w:style>
  <w:style w:type="paragraph" w:styleId="lfej">
    <w:name w:val="header"/>
    <w:basedOn w:val="Norml"/>
    <w:rsid w:val="00B675D9"/>
    <w:pPr>
      <w:suppressLineNumbers/>
      <w:tabs>
        <w:tab w:val="center" w:pos="4819"/>
        <w:tab w:val="right" w:pos="9638"/>
      </w:tabs>
    </w:pPr>
  </w:style>
  <w:style w:type="paragraph" w:styleId="Nincstrkz">
    <w:name w:val="No Spacing"/>
    <w:uiPriority w:val="1"/>
    <w:qFormat/>
    <w:rsid w:val="00901A51"/>
    <w:pPr>
      <w:suppressAutoHyphens/>
    </w:pPr>
    <w:rPr>
      <w:sz w:val="24"/>
      <w:szCs w:val="24"/>
      <w:lang w:eastAsia="zh-CN"/>
    </w:rPr>
  </w:style>
  <w:style w:type="paragraph" w:styleId="Listaszerbekezds">
    <w:name w:val="List Paragraph"/>
    <w:basedOn w:val="Norml"/>
    <w:uiPriority w:val="34"/>
    <w:qFormat/>
    <w:rsid w:val="00901A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1081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BIZONYLATI SZABÁLYZAT</vt:lpstr>
    </vt:vector>
  </TitlesOfParts>
  <Company>MSI</Company>
  <LinksUpToDate>false</LinksUpToDate>
  <CharactersWithSpaces>8526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BIZONYLATI SZABÁLYZAT</dc:title>
  <dc:creator>ANDREA</dc:creator>
  <cp:lastModifiedBy>Rottenberger Edit</cp:lastModifiedBy>
  <cp:revision>5</cp:revision>
  <cp:lastPrinted>2013-09-05T12:45:00Z</cp:lastPrinted>
  <dcterms:created xsi:type="dcterms:W3CDTF">2013-09-05T12:46:00Z</dcterms:created>
  <dcterms:modified xsi:type="dcterms:W3CDTF">2014-10-06T11:38:00Z</dcterms:modified>
</cp:coreProperties>
</file>